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Poštovani roditelji i dragi učenici,</w:t>
      </w:r>
    </w:p>
    <w:p w:rsidR="00D049BF" w:rsidRPr="00D049BF" w:rsidRDefault="00D049BF" w:rsidP="00D049BF">
      <w:pPr>
        <w:spacing w:after="0" w:line="240" w:lineRule="auto"/>
        <w:rPr>
          <w:rFonts w:ascii="Times New Roman" w:eastAsia="Times New Roman" w:hAnsi="Times New Roman" w:cs="Times New Roman"/>
          <w:noProof w:val="0"/>
          <w:sz w:val="24"/>
          <w:szCs w:val="24"/>
          <w:lang w:val="bs-Latn-BA" w:eastAsia="bs-Latn-BA"/>
        </w:rPr>
      </w:pP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 xml:space="preserve">obavještavamo Vas da je proces upisa u srednje škole u Kantonu Sarajevo započeo te da se od ove godine </w:t>
      </w:r>
      <w:r w:rsidRPr="00D049BF">
        <w:rPr>
          <w:rFonts w:ascii="Arial" w:eastAsia="Times New Roman" w:hAnsi="Arial" w:cs="Arial"/>
          <w:b/>
          <w:bCs/>
          <w:noProof w:val="0"/>
          <w:color w:val="000000"/>
          <w:lang w:val="bs-Latn-BA" w:eastAsia="bs-Latn-BA"/>
        </w:rPr>
        <w:t>možete upisati u novoformirano odjeljenje izbornog područja matematičke gimnazije</w:t>
      </w:r>
      <w:r w:rsidRPr="00D049BF">
        <w:rPr>
          <w:rFonts w:ascii="Arial" w:eastAsia="Times New Roman" w:hAnsi="Arial" w:cs="Arial"/>
          <w:noProof w:val="0"/>
          <w:color w:val="000000"/>
          <w:lang w:val="bs-Latn-BA" w:eastAsia="bs-Latn-BA"/>
        </w:rPr>
        <w:t xml:space="preserve"> pri Richmond Park International Secondary School u Sarajevu.</w:t>
      </w:r>
      <w:r>
        <w:rPr>
          <w:rFonts w:ascii="Arial" w:eastAsia="Times New Roman" w:hAnsi="Arial" w:cs="Arial"/>
          <w:noProof w:val="0"/>
          <w:color w:val="000000"/>
          <w:lang w:val="bs-Latn-BA" w:eastAsia="bs-Latn-BA"/>
        </w:rPr>
        <w:t xml:space="preserve"> K</w:t>
      </w:r>
      <w:r w:rsidRPr="00D049BF">
        <w:rPr>
          <w:rFonts w:ascii="Arial" w:eastAsia="Times New Roman" w:hAnsi="Arial" w:cs="Arial"/>
          <w:noProof w:val="0"/>
          <w:color w:val="000000"/>
          <w:lang w:val="bs-Latn-BA" w:eastAsia="bs-Latn-BA"/>
        </w:rPr>
        <w:t>ako je rok za upis sljedeće sedmice</w:t>
      </w:r>
      <w:r>
        <w:rPr>
          <w:rFonts w:ascii="Arial" w:eastAsia="Times New Roman" w:hAnsi="Arial" w:cs="Arial"/>
          <w:noProof w:val="0"/>
          <w:color w:val="000000"/>
          <w:lang w:val="bs-Latn-BA" w:eastAsia="bs-Latn-BA"/>
        </w:rPr>
        <w:t xml:space="preserve"> te je dostupan ograničen broj stipendija</w:t>
      </w:r>
      <w:r w:rsidRPr="00D049BF">
        <w:rPr>
          <w:rFonts w:ascii="Arial" w:eastAsia="Times New Roman" w:hAnsi="Arial" w:cs="Arial"/>
          <w:noProof w:val="0"/>
          <w:color w:val="000000"/>
          <w:lang w:val="bs-Latn-BA" w:eastAsia="bs-Latn-BA"/>
        </w:rPr>
        <w:t>,</w:t>
      </w:r>
      <w:r w:rsidRPr="00D049BF">
        <w:rPr>
          <w:rFonts w:ascii="Arial" w:eastAsia="Times New Roman" w:hAnsi="Arial" w:cs="Arial"/>
          <w:b/>
          <w:bCs/>
          <w:noProof w:val="0"/>
          <w:color w:val="000000"/>
          <w:lang w:val="bs-Latn-BA" w:eastAsia="bs-Latn-BA"/>
        </w:rPr>
        <w:t xml:space="preserve"> molimo Vas da se javite školi najkasnije do srijede 16.06. </w:t>
      </w:r>
      <w:r w:rsidRPr="00D049BF">
        <w:rPr>
          <w:rFonts w:ascii="Arial" w:eastAsia="Times New Roman" w:hAnsi="Arial" w:cs="Arial"/>
          <w:noProof w:val="0"/>
          <w:color w:val="000000"/>
          <w:lang w:val="bs-Latn-BA" w:eastAsia="bs-Latn-BA"/>
        </w:rPr>
        <w:t>ukoliko ste zainteresovani za upis - nekoliko učenika je iskazalo interes, stoga požurite.</w:t>
      </w:r>
    </w:p>
    <w:p w:rsidR="00D049BF" w:rsidRPr="00D049BF" w:rsidRDefault="00D049BF" w:rsidP="00D049BF">
      <w:pPr>
        <w:spacing w:after="0" w:line="240" w:lineRule="auto"/>
        <w:rPr>
          <w:rFonts w:ascii="Times New Roman" w:eastAsia="Times New Roman" w:hAnsi="Times New Roman" w:cs="Times New Roman"/>
          <w:noProof w:val="0"/>
          <w:sz w:val="24"/>
          <w:szCs w:val="24"/>
          <w:lang w:val="bs-Latn-BA" w:eastAsia="bs-Latn-BA"/>
        </w:rPr>
      </w:pP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b/>
          <w:bCs/>
          <w:noProof w:val="0"/>
          <w:color w:val="000000"/>
          <w:lang w:val="bs-Latn-BA" w:eastAsia="bs-Latn-BA"/>
        </w:rPr>
        <w:t>Motivacija za formiranje odjeljenja</w:t>
      </w: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 xml:space="preserve">Pri odabiru srednje škole važno je odabrati instituciju koja ne samo da njeguje odgoj učenika, već omogućava odličan intelektualni razvoj svakog pojedinca, teži izvrsnosti u naobrazbi i fokusira se na cjelokupnu budućnost učenika. Nažalost, rezultati eksternog testiranja učenika (PISA 2018) ukazuju na to da </w:t>
      </w:r>
      <w:r w:rsidRPr="00D049BF">
        <w:rPr>
          <w:rFonts w:ascii="Arial" w:eastAsia="Times New Roman" w:hAnsi="Arial" w:cs="Arial"/>
          <w:i/>
          <w:iCs/>
          <w:noProof w:val="0"/>
          <w:color w:val="000000"/>
          <w:lang w:val="bs-Latn-BA" w:eastAsia="bs-Latn-BA"/>
        </w:rPr>
        <w:t>obrazovni sistem u BiH većinom nije uspješan u prepoznavanju i razvoju punog potencijala (talentovanih) učenika</w:t>
      </w:r>
      <w:r w:rsidRPr="00D049BF">
        <w:rPr>
          <w:rFonts w:ascii="Arial" w:eastAsia="Times New Roman" w:hAnsi="Arial" w:cs="Arial"/>
          <w:noProof w:val="0"/>
          <w:color w:val="000000"/>
          <w:lang w:val="bs-Latn-BA" w:eastAsia="bs-Latn-BA"/>
        </w:rPr>
        <w:t xml:space="preserve"> - učenici iz BiH imaju lošije znanje u odnosu na vršnjake iz susjednih i drugih evropskih država u oblasti čitanja, matematike i prirodnih nauka, a veoma mali broj učenika ostvario je izvanredan uspjeh, samo 1% u poređenju sa EU prosjekom od 16%.</w:t>
      </w:r>
    </w:p>
    <w:p w:rsidR="00D049BF" w:rsidRPr="00D049BF" w:rsidRDefault="00D049BF" w:rsidP="00D049BF">
      <w:pPr>
        <w:spacing w:after="0" w:line="240" w:lineRule="auto"/>
        <w:rPr>
          <w:rFonts w:ascii="Times New Roman" w:eastAsia="Times New Roman" w:hAnsi="Times New Roman" w:cs="Times New Roman"/>
          <w:noProof w:val="0"/>
          <w:sz w:val="24"/>
          <w:szCs w:val="24"/>
          <w:lang w:val="bs-Latn-BA" w:eastAsia="bs-Latn-BA"/>
        </w:rPr>
      </w:pP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 xml:space="preserve">Sa ciljem  da riješimo ovaj problem kroz institucionalni rad sa učenicima posebnog interesovanja za STEM oblasti (prirodne, matematičke i informatičke nauke) te s obzirom na rastuću potrebnu za radnom snagom iz STEM oblasti u svjetu, Richmond Park International Secondary School odlučio je osnovati posebno odjeljenje po uzoru na program rada Matematičke gimnazije u Beogradu, čiji učenici postižu izvanredne uspjehe na međunarodnim takmičenjima (preko 600 medalja od 1966.) i kasnije u karijerama u STEM oblastima. S obzirom na </w:t>
      </w:r>
      <w:hyperlink r:id="rId5" w:anchor="maturanti" w:history="1">
        <w:r w:rsidRPr="00D049BF">
          <w:rPr>
            <w:rFonts w:ascii="Arial" w:eastAsia="Times New Roman" w:hAnsi="Arial" w:cs="Arial"/>
            <w:noProof w:val="0"/>
            <w:color w:val="1155CC"/>
            <w:u w:val="single"/>
            <w:lang w:val="bs-Latn-BA" w:eastAsia="bs-Latn-BA"/>
          </w:rPr>
          <w:t>uspjehe bivših učenika Richmond Park Schools</w:t>
        </w:r>
      </w:hyperlink>
      <w:r w:rsidRPr="00D049BF">
        <w:rPr>
          <w:rFonts w:ascii="Arial" w:eastAsia="Times New Roman" w:hAnsi="Arial" w:cs="Arial"/>
          <w:noProof w:val="0"/>
          <w:color w:val="000000"/>
          <w:lang w:val="bs-Latn-BA" w:eastAsia="bs-Latn-BA"/>
        </w:rPr>
        <w:t>, dostupnost iskusnih predavača i sjajne uslove u školi, vjerujemo da ćemo kroz ovo odjeljenje omogućiti odličan rad sa talentovanim učenicima, njegovati i usavršiti njihove vještine, te ih adekvatno pripremiti za budući rad u STEM oblastima.</w:t>
      </w:r>
    </w:p>
    <w:p w:rsidR="00D049BF" w:rsidRPr="00D049BF" w:rsidRDefault="00D049BF" w:rsidP="00D049BF">
      <w:pPr>
        <w:spacing w:after="0" w:line="240" w:lineRule="auto"/>
        <w:rPr>
          <w:rFonts w:ascii="Times New Roman" w:eastAsia="Times New Roman" w:hAnsi="Times New Roman" w:cs="Times New Roman"/>
          <w:noProof w:val="0"/>
          <w:sz w:val="24"/>
          <w:szCs w:val="24"/>
          <w:lang w:val="bs-Latn-BA" w:eastAsia="bs-Latn-BA"/>
        </w:rPr>
      </w:pP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b/>
          <w:bCs/>
          <w:noProof w:val="0"/>
          <w:color w:val="000000"/>
          <w:lang w:val="bs-Latn-BA" w:eastAsia="bs-Latn-BA"/>
        </w:rPr>
        <w:t>Predavači, nastavni plan i program</w:t>
      </w: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 xml:space="preserve">Sa učenicima će raditi predavači iskusni u radu sa talentovanim učenicima, a po nastavnom planu i programu kojeg su napisali članovi Društva fizičara u FBiH, Udruženja matematičara KS i mladi informatičari koji su prethodnih godina radili sa učenicima kroz brojna takmičenja, škole i kampove. Vođe timova za izradu NPPa iz matematike, fizike i informatike bili su bivši učesnici olimpijada, predavači na kampovima i vođe olimpijskih timova: Admir Beširević (doktorant na PMF UNSA, bronza na IMO 2010), Selver Pepić (doktorant na IST Austria, bronza na IPhO 2012) te Muamer Parić (bachelor student na ETF UNSA, učesnik na IOI 2016, 2017, 2018) i Kenan Saračević (master student na ETF UNSA). Nastavni plan i program je razvijen po uzoru na Matematičku gimnaziju u Beogradu, ali modernizovan i izmijenjen gdje je potrebno - planirane predmete i broj možete vidjeti u dodatku, a za sadržaj pojedinačnih predmeta molimo Vas da nas kontaktirate (sadržaj u Matematičkoj gimnaziji Beograd možete vidjeti </w:t>
      </w:r>
      <w:hyperlink r:id="rId6" w:history="1">
        <w:r w:rsidRPr="00D049BF">
          <w:rPr>
            <w:rFonts w:ascii="Arial" w:eastAsia="Times New Roman" w:hAnsi="Arial" w:cs="Arial"/>
            <w:noProof w:val="0"/>
            <w:color w:val="1155CC"/>
            <w:u w:val="single"/>
            <w:lang w:val="bs-Latn-BA" w:eastAsia="bs-Latn-BA"/>
          </w:rPr>
          <w:t>ovdje</w:t>
        </w:r>
      </w:hyperlink>
      <w:r w:rsidRPr="00D049BF">
        <w:rPr>
          <w:rFonts w:ascii="Arial" w:eastAsia="Times New Roman" w:hAnsi="Arial" w:cs="Arial"/>
          <w:noProof w:val="0"/>
          <w:color w:val="000000"/>
          <w:lang w:val="bs-Latn-BA" w:eastAsia="bs-Latn-BA"/>
        </w:rPr>
        <w:t>).</w:t>
      </w:r>
    </w:p>
    <w:p w:rsidR="00D049BF" w:rsidRPr="00D049BF" w:rsidRDefault="00D049BF" w:rsidP="00D049BF">
      <w:pPr>
        <w:spacing w:after="0" w:line="240" w:lineRule="auto"/>
        <w:rPr>
          <w:rFonts w:ascii="Times New Roman" w:eastAsia="Times New Roman" w:hAnsi="Times New Roman" w:cs="Times New Roman"/>
          <w:noProof w:val="0"/>
          <w:sz w:val="24"/>
          <w:szCs w:val="24"/>
          <w:lang w:val="bs-Latn-BA" w:eastAsia="bs-Latn-BA"/>
        </w:rPr>
      </w:pP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b/>
          <w:bCs/>
          <w:noProof w:val="0"/>
          <w:color w:val="000000"/>
          <w:lang w:val="bs-Latn-BA" w:eastAsia="bs-Latn-BA"/>
        </w:rPr>
        <w:t>Učenici, internat, stipendije</w:t>
      </w: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Odjeljenje je namijenjeno svim učenicima koji žele izučavati prirodne, matematičke i informatičke nauke sa većim fokusom i obimom nego u tipičnim gimnazijama - gotovo 50% fonda časova će biti iz prirodnih, matematičkih i informatičkih predmeta. U sklopu škole nalazi se internat, te je stoga i za učenike van Sarajeva moguće da upišu ovo odjeljenje. Za ograničen broj učenika su dostupne stipendije koje će pokriti punu cijenu školovanja (uključujući i cijenu smještaja u internatu). Stipendije su dostupne za:</w:t>
      </w:r>
    </w:p>
    <w:p w:rsidR="00D049BF" w:rsidRPr="00D049BF" w:rsidRDefault="00D049BF" w:rsidP="00D049BF">
      <w:pPr>
        <w:numPr>
          <w:ilvl w:val="0"/>
          <w:numId w:val="1"/>
        </w:numPr>
        <w:spacing w:after="0" w:line="240" w:lineRule="auto"/>
        <w:jc w:val="both"/>
        <w:textAlignment w:val="baseline"/>
        <w:rPr>
          <w:rFonts w:ascii="Arial" w:eastAsia="Times New Roman" w:hAnsi="Arial" w:cs="Arial"/>
          <w:noProof w:val="0"/>
          <w:color w:val="000000"/>
          <w:lang w:val="bs-Latn-BA" w:eastAsia="bs-Latn-BA"/>
        </w:rPr>
      </w:pPr>
      <w:r w:rsidRPr="00D049BF">
        <w:rPr>
          <w:rFonts w:ascii="Arial" w:eastAsia="Times New Roman" w:hAnsi="Arial" w:cs="Arial"/>
          <w:noProof w:val="0"/>
          <w:color w:val="000000"/>
          <w:lang w:val="bs-Latn-BA" w:eastAsia="bs-Latn-BA"/>
        </w:rPr>
        <w:t>najboljih 5 sa kantonalnih takmičenja </w:t>
      </w:r>
    </w:p>
    <w:p w:rsidR="00D049BF" w:rsidRPr="00D049BF" w:rsidRDefault="00D049BF" w:rsidP="00D049BF">
      <w:pPr>
        <w:numPr>
          <w:ilvl w:val="0"/>
          <w:numId w:val="1"/>
        </w:numPr>
        <w:spacing w:after="0" w:line="240" w:lineRule="auto"/>
        <w:jc w:val="both"/>
        <w:textAlignment w:val="baseline"/>
        <w:rPr>
          <w:rFonts w:ascii="Arial" w:eastAsia="Times New Roman" w:hAnsi="Arial" w:cs="Arial"/>
          <w:noProof w:val="0"/>
          <w:color w:val="000000"/>
          <w:lang w:val="bs-Latn-BA" w:eastAsia="bs-Latn-BA"/>
        </w:rPr>
      </w:pPr>
      <w:r w:rsidRPr="00D049BF">
        <w:rPr>
          <w:rFonts w:ascii="Arial" w:eastAsia="Times New Roman" w:hAnsi="Arial" w:cs="Arial"/>
          <w:noProof w:val="0"/>
          <w:color w:val="000000"/>
          <w:lang w:val="bs-Latn-BA" w:eastAsia="bs-Latn-BA"/>
        </w:rPr>
        <w:t>najboljih 15 sa federalnih takmičenja</w:t>
      </w:r>
    </w:p>
    <w:p w:rsidR="00D049BF" w:rsidRPr="00D049BF" w:rsidRDefault="00D049BF" w:rsidP="00D049BF">
      <w:pPr>
        <w:numPr>
          <w:ilvl w:val="0"/>
          <w:numId w:val="1"/>
        </w:numPr>
        <w:spacing w:after="0" w:line="240" w:lineRule="auto"/>
        <w:jc w:val="both"/>
        <w:textAlignment w:val="baseline"/>
        <w:rPr>
          <w:rFonts w:ascii="Arial" w:eastAsia="Times New Roman" w:hAnsi="Arial" w:cs="Arial"/>
          <w:noProof w:val="0"/>
          <w:color w:val="000000"/>
          <w:lang w:val="bs-Latn-BA" w:eastAsia="bs-Latn-BA"/>
        </w:rPr>
      </w:pPr>
      <w:r w:rsidRPr="00D049BF">
        <w:rPr>
          <w:rFonts w:ascii="Arial" w:eastAsia="Times New Roman" w:hAnsi="Arial" w:cs="Arial"/>
          <w:noProof w:val="0"/>
          <w:color w:val="000000"/>
          <w:lang w:val="bs-Latn-BA" w:eastAsia="bs-Latn-BA"/>
        </w:rPr>
        <w:t>najboljih 20 sa državnih takmičenja</w:t>
      </w: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iz matematike, fizike i informatike, ali i za druge učenike sa sličnim uspjesima (npr. sa naučnih škola/kampova i slično).</w:t>
      </w:r>
    </w:p>
    <w:p w:rsidR="00D049BF" w:rsidRPr="00D049BF" w:rsidRDefault="00D049BF" w:rsidP="00D049BF">
      <w:pPr>
        <w:spacing w:after="0" w:line="240" w:lineRule="auto"/>
        <w:rPr>
          <w:rFonts w:ascii="Times New Roman" w:eastAsia="Times New Roman" w:hAnsi="Times New Roman" w:cs="Times New Roman"/>
          <w:noProof w:val="0"/>
          <w:sz w:val="24"/>
          <w:szCs w:val="24"/>
          <w:lang w:val="bs-Latn-BA" w:eastAsia="bs-Latn-BA"/>
        </w:rPr>
      </w:pP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Ovo je izuzetna prilika koja se ove godine po prvi put pruža učenicima u BiH, stoga vam preporučujemo da odaberete novoformirano odjeljenje matematičke gimnazije Richmond Park International Secondary School u Sarajevu, te postanete prva generacija ovog posebnog odjeljenja.</w:t>
      </w:r>
    </w:p>
    <w:p w:rsidR="00D049BF" w:rsidRPr="00D049BF" w:rsidRDefault="00D049BF" w:rsidP="00D049BF">
      <w:pPr>
        <w:spacing w:after="0" w:line="240" w:lineRule="auto"/>
        <w:rPr>
          <w:rFonts w:ascii="Times New Roman" w:eastAsia="Times New Roman" w:hAnsi="Times New Roman" w:cs="Times New Roman"/>
          <w:noProof w:val="0"/>
          <w:sz w:val="24"/>
          <w:szCs w:val="24"/>
          <w:lang w:val="bs-Latn-BA" w:eastAsia="bs-Latn-BA"/>
        </w:rPr>
      </w:pP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 xml:space="preserve">Za sve dodatne informacije (npr. o pravu na stipendiju) slobodno se možete obratiti školi na </w:t>
      </w:r>
      <w:hyperlink r:id="rId7" w:history="1">
        <w:r w:rsidRPr="00D049BF">
          <w:rPr>
            <w:rFonts w:ascii="Arial" w:eastAsia="Times New Roman" w:hAnsi="Arial" w:cs="Arial"/>
            <w:noProof w:val="0"/>
            <w:color w:val="1155CC"/>
            <w:u w:val="single"/>
            <w:lang w:val="bs-Latn-BA" w:eastAsia="bs-Latn-BA"/>
          </w:rPr>
          <w:t>secondary@rps.edu.ba</w:t>
        </w:r>
      </w:hyperlink>
      <w:r w:rsidRPr="00D049BF">
        <w:rPr>
          <w:rFonts w:ascii="Arial" w:eastAsia="Times New Roman" w:hAnsi="Arial" w:cs="Arial"/>
          <w:noProof w:val="0"/>
          <w:color w:val="000000"/>
          <w:lang w:val="bs-Latn-BA" w:eastAsia="bs-Latn-BA"/>
        </w:rPr>
        <w:t>.</w:t>
      </w:r>
    </w:p>
    <w:p w:rsidR="00D049BF" w:rsidRPr="00D049BF" w:rsidRDefault="00D049BF" w:rsidP="00D049BF">
      <w:pPr>
        <w:spacing w:after="0" w:line="240" w:lineRule="auto"/>
        <w:rPr>
          <w:rFonts w:ascii="Times New Roman" w:eastAsia="Times New Roman" w:hAnsi="Times New Roman" w:cs="Times New Roman"/>
          <w:noProof w:val="0"/>
          <w:sz w:val="24"/>
          <w:szCs w:val="24"/>
          <w:lang w:val="bs-Latn-BA" w:eastAsia="bs-Latn-BA"/>
        </w:rPr>
      </w:pP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Srdačan pozdrav,</w:t>
      </w:r>
    </w:p>
    <w:p w:rsidR="00D049BF" w:rsidRPr="00D049BF" w:rsidRDefault="00D049BF" w:rsidP="00D049BF">
      <w:pPr>
        <w:spacing w:after="0" w:line="240" w:lineRule="auto"/>
        <w:jc w:val="both"/>
        <w:rPr>
          <w:rFonts w:ascii="Times New Roman" w:eastAsia="Times New Roman" w:hAnsi="Times New Roman" w:cs="Times New Roman"/>
          <w:noProof w:val="0"/>
          <w:sz w:val="24"/>
          <w:szCs w:val="24"/>
          <w:lang w:val="bs-Latn-BA" w:eastAsia="bs-Latn-BA"/>
        </w:rPr>
      </w:pPr>
      <w:r w:rsidRPr="00D049BF">
        <w:rPr>
          <w:rFonts w:ascii="Arial" w:eastAsia="Times New Roman" w:hAnsi="Arial" w:cs="Arial"/>
          <w:noProof w:val="0"/>
          <w:color w:val="000000"/>
          <w:lang w:val="bs-Latn-BA" w:eastAsia="bs-Latn-BA"/>
        </w:rPr>
        <w:t>Richmond Park International Secondary School u Sarajevu</w:t>
      </w:r>
    </w:p>
    <w:p w:rsidR="00D049BF" w:rsidRPr="00D049BF" w:rsidRDefault="00D049BF" w:rsidP="00D049BF">
      <w:pPr>
        <w:rPr>
          <w:rFonts w:ascii="Times New Roman" w:eastAsia="Times New Roman" w:hAnsi="Times New Roman" w:cs="Times New Roman"/>
          <w:noProof w:val="0"/>
          <w:sz w:val="24"/>
          <w:szCs w:val="24"/>
          <w:lang w:val="bs-Latn-BA" w:eastAsia="bs-Latn-BA"/>
        </w:rPr>
      </w:pP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p>
    <w:tbl>
      <w:tblPr>
        <w:tblW w:w="8305" w:type="dxa"/>
        <w:tblInd w:w="93" w:type="dxa"/>
        <w:tblLook w:val="04A0" w:firstRow="1" w:lastRow="0" w:firstColumn="1" w:lastColumn="0" w:noHBand="0" w:noVBand="1"/>
      </w:tblPr>
      <w:tblGrid>
        <w:gridCol w:w="820"/>
        <w:gridCol w:w="2655"/>
        <w:gridCol w:w="960"/>
        <w:gridCol w:w="960"/>
        <w:gridCol w:w="960"/>
        <w:gridCol w:w="960"/>
        <w:gridCol w:w="990"/>
      </w:tblGrid>
      <w:tr w:rsidR="00D049BF" w:rsidRPr="006A32F6" w:rsidTr="00D62E65">
        <w:trPr>
          <w:trHeight w:val="300"/>
        </w:trPr>
        <w:tc>
          <w:tcPr>
            <w:tcW w:w="820"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c>
          <w:tcPr>
            <w:tcW w:w="6495" w:type="dxa"/>
            <w:gridSpan w:val="5"/>
            <w:tcBorders>
              <w:top w:val="nil"/>
              <w:left w:val="nil"/>
              <w:bottom w:val="nil"/>
              <w:right w:val="nil"/>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NASTAVNI PLAN ZA ODJELJENJE MATEMATIČKE GIMNAZIJE</w:t>
            </w:r>
          </w:p>
        </w:tc>
        <w:tc>
          <w:tcPr>
            <w:tcW w:w="990"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r>
      <w:tr w:rsidR="00D049BF" w:rsidRPr="006A32F6" w:rsidTr="00D62E65">
        <w:trPr>
          <w:trHeight w:val="15"/>
        </w:trPr>
        <w:tc>
          <w:tcPr>
            <w:tcW w:w="820"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c>
          <w:tcPr>
            <w:tcW w:w="2655"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c>
          <w:tcPr>
            <w:tcW w:w="990" w:type="dxa"/>
            <w:tcBorders>
              <w:top w:val="nil"/>
              <w:left w:val="nil"/>
              <w:bottom w:val="nil"/>
              <w:right w:val="nil"/>
            </w:tcBorders>
            <w:shd w:val="clear" w:color="auto" w:fill="auto"/>
            <w:noWrap/>
            <w:vAlign w:val="bottom"/>
            <w:hideMark/>
          </w:tcPr>
          <w:p w:rsidR="00D049BF" w:rsidRPr="002442FC" w:rsidRDefault="00D049BF" w:rsidP="00D62E65">
            <w:pPr>
              <w:rPr>
                <w:rFonts w:eastAsia="Times New Roman" w:cs="Times New Roman"/>
                <w:color w:val="000000"/>
              </w:rPr>
            </w:pPr>
          </w:p>
        </w:tc>
      </w:tr>
      <w:tr w:rsidR="00D049BF" w:rsidRPr="006A32F6" w:rsidTr="00D62E65">
        <w:trPr>
          <w:trHeight w:val="615"/>
        </w:trPr>
        <w:tc>
          <w:tcPr>
            <w:tcW w:w="8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Redni broj</w:t>
            </w:r>
          </w:p>
        </w:tc>
        <w:tc>
          <w:tcPr>
            <w:tcW w:w="26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Naziv predmeta</w:t>
            </w:r>
          </w:p>
        </w:tc>
        <w:tc>
          <w:tcPr>
            <w:tcW w:w="3840" w:type="dxa"/>
            <w:gridSpan w:val="4"/>
            <w:tcBorders>
              <w:top w:val="single" w:sz="8" w:space="0" w:color="auto"/>
              <w:left w:val="nil"/>
              <w:bottom w:val="single" w:sz="4" w:space="0" w:color="auto"/>
              <w:right w:val="single" w:sz="4" w:space="0" w:color="auto"/>
            </w:tcBorders>
            <w:shd w:val="clear" w:color="auto" w:fill="auto"/>
            <w:vAlign w:val="bottom"/>
            <w:hideMark/>
          </w:tcPr>
          <w:p w:rsidR="00D049BF" w:rsidRPr="002442FC" w:rsidRDefault="00D049BF" w:rsidP="00D62E65">
            <w:pPr>
              <w:jc w:val="center"/>
              <w:rPr>
                <w:rFonts w:eastAsia="Times New Roman" w:cs="Times New Roman"/>
                <w:color w:val="000000"/>
              </w:rPr>
            </w:pPr>
            <w:r>
              <w:rPr>
                <w:rFonts w:eastAsia="Times New Roman" w:cs="Times New Roman"/>
                <w:color w:val="000000"/>
              </w:rPr>
              <w:t>Razre</w:t>
            </w:r>
            <w:r w:rsidRPr="002442FC">
              <w:rPr>
                <w:rFonts w:eastAsia="Times New Roman" w:cs="Times New Roman"/>
                <w:color w:val="000000"/>
              </w:rPr>
              <w:t>d i broj nastavnih sati sedmično</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rsidR="00D049BF" w:rsidRPr="002442FC" w:rsidRDefault="00D049BF" w:rsidP="00D62E65">
            <w:pPr>
              <w:rPr>
                <w:rFonts w:eastAsia="Times New Roman" w:cs="Times New Roman"/>
                <w:color w:val="000000"/>
              </w:rPr>
            </w:pPr>
            <w:r w:rsidRPr="002442FC">
              <w:rPr>
                <w:rFonts w:eastAsia="Times New Roman" w:cs="Times New Roman"/>
                <w:color w:val="000000"/>
              </w:rPr>
              <w:t> </w:t>
            </w:r>
          </w:p>
        </w:tc>
      </w:tr>
      <w:tr w:rsidR="00D049BF" w:rsidRPr="006A32F6" w:rsidTr="00D62E65">
        <w:trPr>
          <w:trHeight w:val="300"/>
        </w:trPr>
        <w:tc>
          <w:tcPr>
            <w:tcW w:w="820" w:type="dxa"/>
            <w:vMerge/>
            <w:tcBorders>
              <w:top w:val="single" w:sz="8" w:space="0" w:color="auto"/>
              <w:left w:val="single" w:sz="8" w:space="0" w:color="auto"/>
              <w:bottom w:val="single" w:sz="4" w:space="0" w:color="auto"/>
              <w:right w:val="single" w:sz="4" w:space="0" w:color="auto"/>
            </w:tcBorders>
            <w:vAlign w:val="center"/>
            <w:hideMark/>
          </w:tcPr>
          <w:p w:rsidR="00D049BF" w:rsidRPr="002442FC" w:rsidRDefault="00D049BF" w:rsidP="00D62E65">
            <w:pPr>
              <w:rPr>
                <w:rFonts w:eastAsia="Times New Roman" w:cs="Times New Roman"/>
                <w:color w:val="000000"/>
              </w:rPr>
            </w:pPr>
          </w:p>
        </w:tc>
        <w:tc>
          <w:tcPr>
            <w:tcW w:w="2655" w:type="dxa"/>
            <w:vMerge/>
            <w:tcBorders>
              <w:top w:val="single" w:sz="8" w:space="0" w:color="auto"/>
              <w:left w:val="single" w:sz="4" w:space="0" w:color="auto"/>
              <w:bottom w:val="single" w:sz="4" w:space="0" w:color="auto"/>
              <w:right w:val="single" w:sz="4" w:space="0" w:color="auto"/>
            </w:tcBorders>
            <w:vAlign w:val="center"/>
            <w:hideMark/>
          </w:tcPr>
          <w:p w:rsidR="00D049BF" w:rsidRPr="002442FC" w:rsidRDefault="00D049BF" w:rsidP="00D62E65">
            <w:pPr>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 xml:space="preserve">I </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II</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III</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 xml:space="preserve">IV </w:t>
            </w:r>
          </w:p>
        </w:tc>
        <w:tc>
          <w:tcPr>
            <w:tcW w:w="990" w:type="dxa"/>
            <w:tcBorders>
              <w:top w:val="nil"/>
              <w:left w:val="nil"/>
              <w:bottom w:val="single" w:sz="4" w:space="0" w:color="auto"/>
              <w:right w:val="single" w:sz="8"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Ukupno</w:t>
            </w:r>
          </w:p>
        </w:tc>
      </w:tr>
      <w:tr w:rsidR="00D049BF" w:rsidRPr="006A32F6" w:rsidTr="00D62E65">
        <w:trPr>
          <w:trHeight w:val="6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rPr>
                <w:rFonts w:eastAsia="Times New Roman" w:cs="Times New Roman"/>
                <w:color w:val="000000"/>
              </w:rPr>
            </w:pPr>
            <w:r w:rsidRPr="002442FC">
              <w:rPr>
                <w:rFonts w:eastAsia="Times New Roman" w:cs="Times New Roman"/>
                <w:color w:val="000000"/>
              </w:rPr>
              <w:t>Bosanski</w:t>
            </w:r>
            <w:r>
              <w:rPr>
                <w:rFonts w:eastAsia="Times New Roman" w:cs="Times New Roman"/>
                <w:color w:val="000000"/>
              </w:rPr>
              <w:t xml:space="preserve"> jezik i književnost</w:t>
            </w:r>
            <w:r w:rsidRPr="002442FC">
              <w:rPr>
                <w:rFonts w:eastAsia="Times New Roman" w:cs="Times New Roman"/>
                <w:color w:val="000000"/>
              </w:rPr>
              <w:t>, hrvatski</w:t>
            </w:r>
            <w:r>
              <w:rPr>
                <w:rFonts w:eastAsia="Times New Roman" w:cs="Times New Roman"/>
                <w:color w:val="000000"/>
              </w:rPr>
              <w:t xml:space="preserve"> </w:t>
            </w:r>
            <w:r w:rsidRPr="002442FC">
              <w:rPr>
                <w:rFonts w:eastAsia="Times New Roman" w:cs="Times New Roman"/>
                <w:color w:val="000000"/>
              </w:rPr>
              <w:t>jezik i književnost,srpski jezik i književnost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3</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spacing w:line="600" w:lineRule="auto"/>
              <w:jc w:val="center"/>
              <w:rPr>
                <w:rFonts w:eastAsia="Times New Roman" w:cs="Times New Roman"/>
                <w:color w:val="000000"/>
              </w:rPr>
            </w:pPr>
            <w:r w:rsidRPr="002442FC">
              <w:rPr>
                <w:rFonts w:eastAsia="Times New Roman" w:cs="Times New Roman"/>
                <w:color w:val="000000"/>
              </w:rPr>
              <w:t>14</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Prvi strani jezik</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10</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3</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Historija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3</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4</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Geografija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3</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5</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Sociologija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5</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Psihologija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6</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Filozofija sa logikom</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7</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Demokratija i ljudska prava/Građansko obrazovanje</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spacing w:line="480" w:lineRule="auto"/>
              <w:jc w:val="center"/>
              <w:rPr>
                <w:rFonts w:eastAsia="Times New Roman" w:cs="Times New Roman"/>
                <w:color w:val="000000"/>
              </w:rPr>
            </w:pPr>
            <w:r w:rsidRPr="002442FC">
              <w:rPr>
                <w:rFonts w:eastAsia="Times New Roman" w:cs="Times New Roman"/>
                <w:color w:val="000000"/>
              </w:rPr>
              <w:t>2</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8</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Muzička kultura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9</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Likovna kultura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10</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Sport</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8</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11</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r w:rsidRPr="002442FC">
              <w:rPr>
                <w:rFonts w:eastAsia="Times New Roman" w:cs="Times New Roman"/>
                <w:color w:val="000000"/>
              </w:rPr>
              <w:t>Vjeronauka/Kultura religija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w:t>
            </w: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spacing w:line="360" w:lineRule="auto"/>
              <w:jc w:val="center"/>
              <w:rPr>
                <w:rFonts w:eastAsia="Times New Roman" w:cs="Times New Roman"/>
                <w:color w:val="000000"/>
              </w:rPr>
            </w:pPr>
            <w:r w:rsidRPr="002442FC">
              <w:rPr>
                <w:rFonts w:eastAsia="Times New Roman" w:cs="Times New Roman"/>
                <w:color w:val="000000"/>
              </w:rPr>
              <w:t>4</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both"/>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p>
        </w:tc>
        <w:tc>
          <w:tcPr>
            <w:tcW w:w="990" w:type="dxa"/>
            <w:tcBorders>
              <w:top w:val="nil"/>
              <w:left w:val="nil"/>
              <w:bottom w:val="single" w:sz="4" w:space="0" w:color="auto"/>
              <w:right w:val="single" w:sz="8" w:space="0" w:color="auto"/>
            </w:tcBorders>
            <w:shd w:val="clear" w:color="auto" w:fill="auto"/>
            <w:noWrap/>
            <w:vAlign w:val="bottom"/>
            <w:hideMark/>
          </w:tcPr>
          <w:p w:rsidR="00D049BF" w:rsidRPr="002442FC" w:rsidRDefault="00D049BF" w:rsidP="00D62E65">
            <w:pPr>
              <w:jc w:val="center"/>
              <w:rPr>
                <w:rFonts w:eastAsia="Times New Roman" w:cs="Times New Roman"/>
                <w:color w:val="000000"/>
              </w:rPr>
            </w:pP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12</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rPr>
                <w:rFonts w:cs="Times New Roman"/>
                <w:b/>
                <w:bCs/>
              </w:rPr>
            </w:pPr>
            <w:r w:rsidRPr="002442FC">
              <w:rPr>
                <w:rFonts w:cs="Times New Roman"/>
                <w:b/>
                <w:bCs/>
              </w:rPr>
              <w:t>Analiza sa algebrom</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4</w:t>
            </w:r>
          </w:p>
        </w:tc>
        <w:tc>
          <w:tcPr>
            <w:tcW w:w="990" w:type="dxa"/>
            <w:tcBorders>
              <w:top w:val="nil"/>
              <w:left w:val="nil"/>
              <w:bottom w:val="single" w:sz="4" w:space="0" w:color="auto"/>
              <w:right w:val="single" w:sz="8" w:space="0" w:color="auto"/>
            </w:tcBorders>
            <w:shd w:val="clear" w:color="auto" w:fill="auto"/>
            <w:noWrap/>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16</w:t>
            </w:r>
          </w:p>
        </w:tc>
      </w:tr>
      <w:tr w:rsidR="00D049BF" w:rsidRPr="006A32F6" w:rsidTr="00D62E65">
        <w:trPr>
          <w:trHeight w:val="68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13</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rPr>
                <w:rFonts w:cs="Times New Roman"/>
                <w:b/>
                <w:bCs/>
              </w:rPr>
            </w:pPr>
            <w:r w:rsidRPr="002442FC">
              <w:rPr>
                <w:rFonts w:cs="Times New Roman"/>
                <w:b/>
                <w:bCs/>
              </w:rPr>
              <w:t>Geometrija</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spacing w:line="480" w:lineRule="auto"/>
              <w:jc w:val="center"/>
              <w:rPr>
                <w:rFonts w:cs="Times New Roman"/>
                <w:b/>
                <w:bCs/>
                <w:color w:val="000000"/>
              </w:rPr>
            </w:pPr>
            <w:r w:rsidRPr="002442FC">
              <w:rPr>
                <w:rFonts w:cs="Times New Roman"/>
                <w:b/>
                <w:bCs/>
                <w:color w:val="000000"/>
              </w:rPr>
              <w:t>4</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spacing w:line="480" w:lineRule="auto"/>
              <w:jc w:val="center"/>
              <w:rPr>
                <w:rFonts w:cs="Times New Roman"/>
                <w:b/>
                <w:bCs/>
                <w:color w:val="000000"/>
              </w:rPr>
            </w:pPr>
            <w:r w:rsidRPr="002442FC">
              <w:rPr>
                <w:rFonts w:cs="Times New Roman"/>
                <w:b/>
                <w:bCs/>
                <w:color w:val="000000"/>
              </w:rPr>
              <w:t>2</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jc w:val="center"/>
              <w:rPr>
                <w:rFonts w:cs="Times New Roman"/>
                <w:b/>
                <w:bCs/>
                <w:color w:val="000000"/>
              </w:rPr>
            </w:pPr>
            <w:r w:rsidRPr="002442FC">
              <w:rPr>
                <w:rFonts w:cs="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 </w:t>
            </w:r>
          </w:p>
        </w:tc>
        <w:tc>
          <w:tcPr>
            <w:tcW w:w="990" w:type="dxa"/>
            <w:tcBorders>
              <w:top w:val="nil"/>
              <w:left w:val="nil"/>
              <w:bottom w:val="single" w:sz="4" w:space="0" w:color="auto"/>
              <w:right w:val="single" w:sz="8" w:space="0" w:color="auto"/>
            </w:tcBorders>
            <w:shd w:val="clear" w:color="auto" w:fill="auto"/>
            <w:noWrap/>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6</w:t>
            </w:r>
          </w:p>
        </w:tc>
      </w:tr>
      <w:tr w:rsidR="00D049BF" w:rsidRPr="006A32F6" w:rsidTr="00D62E65">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14</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rPr>
                <w:rFonts w:cs="Times New Roman"/>
                <w:b/>
                <w:bCs/>
              </w:rPr>
            </w:pPr>
            <w:r w:rsidRPr="002442FC">
              <w:rPr>
                <w:rFonts w:cs="Times New Roman"/>
                <w:b/>
                <w:bCs/>
              </w:rPr>
              <w:t>Analiticka geometrija i linearna algebra</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spacing w:line="360" w:lineRule="auto"/>
              <w:jc w:val="center"/>
              <w:rPr>
                <w:rFonts w:cs="Times New Roman"/>
                <w:color w:val="000000"/>
              </w:rPr>
            </w:pPr>
            <w:r w:rsidRPr="002442FC">
              <w:rPr>
                <w:rFonts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spacing w:line="360" w:lineRule="auto"/>
              <w:jc w:val="center"/>
              <w:rPr>
                <w:rFonts w:cs="Times New Roman"/>
                <w:color w:val="000000"/>
              </w:rPr>
            </w:pPr>
            <w:r w:rsidRPr="002442FC">
              <w:rPr>
                <w:rFonts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jc w:val="center"/>
              <w:rPr>
                <w:rFonts w:cs="Times New Roman"/>
                <w:b/>
                <w:bCs/>
                <w:color w:val="000000"/>
              </w:rPr>
            </w:pPr>
            <w:r w:rsidRPr="002442FC">
              <w:rPr>
                <w:rFonts w:cs="Times New Roman"/>
                <w:b/>
                <w:bCs/>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color w:val="000000"/>
              </w:rPr>
            </w:pPr>
            <w:r w:rsidRPr="002442FC">
              <w:rPr>
                <w:rFonts w:cs="Times New Roman"/>
                <w:color w:val="000000"/>
              </w:rPr>
              <w:t> </w:t>
            </w:r>
          </w:p>
        </w:tc>
        <w:tc>
          <w:tcPr>
            <w:tcW w:w="990" w:type="dxa"/>
            <w:tcBorders>
              <w:top w:val="nil"/>
              <w:left w:val="nil"/>
              <w:bottom w:val="single" w:sz="4" w:space="0" w:color="auto"/>
              <w:right w:val="single" w:sz="8" w:space="0" w:color="auto"/>
            </w:tcBorders>
            <w:shd w:val="clear" w:color="auto" w:fill="auto"/>
            <w:noWrap/>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3</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15</w:t>
            </w:r>
          </w:p>
        </w:tc>
        <w:tc>
          <w:tcPr>
            <w:tcW w:w="2655"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rPr>
                <w:rFonts w:cs="Times New Roman"/>
                <w:b/>
                <w:bCs/>
              </w:rPr>
            </w:pPr>
            <w:r w:rsidRPr="002442FC">
              <w:rPr>
                <w:rFonts w:cs="Times New Roman"/>
                <w:b/>
                <w:bCs/>
              </w:rPr>
              <w:t>Vjerovatnoca i matematička statistika</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jc w:val="center"/>
              <w:rPr>
                <w:rFonts w:cs="Times New Roman"/>
                <w:color w:val="000000"/>
              </w:rPr>
            </w:pPr>
            <w:r w:rsidRPr="002442FC">
              <w:rPr>
                <w:rFonts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spacing w:line="360" w:lineRule="auto"/>
              <w:jc w:val="center"/>
              <w:rPr>
                <w:rFonts w:cs="Times New Roman"/>
                <w:color w:val="000000"/>
              </w:rPr>
            </w:pPr>
            <w:r w:rsidRPr="002442FC">
              <w:rPr>
                <w:rFonts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jc w:val="center"/>
              <w:rPr>
                <w:rFonts w:cs="Times New Roman"/>
                <w:color w:val="000000"/>
              </w:rPr>
            </w:pPr>
            <w:r w:rsidRPr="002442FC">
              <w:rPr>
                <w:rFonts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spacing w:line="360" w:lineRule="auto"/>
              <w:jc w:val="center"/>
              <w:rPr>
                <w:rFonts w:cs="Times New Roman"/>
                <w:b/>
                <w:bCs/>
                <w:color w:val="000000"/>
              </w:rPr>
            </w:pPr>
            <w:r w:rsidRPr="002442FC">
              <w:rPr>
                <w:rFonts w:cs="Times New Roman"/>
                <w:b/>
                <w:bCs/>
                <w:color w:val="000000"/>
              </w:rPr>
              <w:t>2</w:t>
            </w:r>
          </w:p>
        </w:tc>
        <w:tc>
          <w:tcPr>
            <w:tcW w:w="990" w:type="dxa"/>
            <w:tcBorders>
              <w:top w:val="nil"/>
              <w:left w:val="nil"/>
              <w:bottom w:val="single" w:sz="4" w:space="0" w:color="auto"/>
              <w:right w:val="single" w:sz="8" w:space="0" w:color="auto"/>
            </w:tcBorders>
            <w:shd w:val="clear" w:color="auto" w:fill="auto"/>
            <w:noWrap/>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2</w:t>
            </w:r>
          </w:p>
        </w:tc>
      </w:tr>
      <w:tr w:rsidR="00D049BF" w:rsidRPr="006A32F6" w:rsidTr="00D62E65">
        <w:trPr>
          <w:trHeight w:val="31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16</w:t>
            </w:r>
          </w:p>
        </w:tc>
        <w:tc>
          <w:tcPr>
            <w:tcW w:w="2655" w:type="dxa"/>
            <w:tcBorders>
              <w:top w:val="nil"/>
              <w:left w:val="nil"/>
              <w:bottom w:val="single" w:sz="4" w:space="0" w:color="auto"/>
              <w:right w:val="single" w:sz="4" w:space="0" w:color="auto"/>
            </w:tcBorders>
            <w:shd w:val="clear" w:color="auto" w:fill="auto"/>
            <w:vAlign w:val="bottom"/>
            <w:hideMark/>
          </w:tcPr>
          <w:p w:rsidR="00D049BF" w:rsidRPr="002442FC" w:rsidRDefault="00D049BF" w:rsidP="00D62E65">
            <w:pPr>
              <w:rPr>
                <w:rFonts w:cs="Times New Roman"/>
                <w:b/>
                <w:bCs/>
              </w:rPr>
            </w:pPr>
            <w:r w:rsidRPr="002442FC">
              <w:rPr>
                <w:rFonts w:cs="Times New Roman"/>
                <w:b/>
                <w:bCs/>
              </w:rPr>
              <w:t>Numerički algoritmi i obrada podataka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2</w:t>
            </w:r>
          </w:p>
        </w:tc>
        <w:tc>
          <w:tcPr>
            <w:tcW w:w="990" w:type="dxa"/>
            <w:tcBorders>
              <w:top w:val="nil"/>
              <w:left w:val="nil"/>
              <w:bottom w:val="single" w:sz="4" w:space="0" w:color="auto"/>
              <w:right w:val="single" w:sz="8" w:space="0" w:color="auto"/>
            </w:tcBorders>
            <w:shd w:val="clear" w:color="auto" w:fill="auto"/>
            <w:noWrap/>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2</w:t>
            </w:r>
          </w:p>
        </w:tc>
      </w:tr>
      <w:tr w:rsidR="00D049BF" w:rsidRPr="006A32F6" w:rsidTr="00D62E65">
        <w:trPr>
          <w:trHeight w:val="6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17</w:t>
            </w:r>
          </w:p>
        </w:tc>
        <w:tc>
          <w:tcPr>
            <w:tcW w:w="2655"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rPr>
                <w:rFonts w:cs="Times New Roman"/>
                <w:b/>
                <w:bCs/>
              </w:rPr>
            </w:pPr>
            <w:r w:rsidRPr="002442FC">
              <w:rPr>
                <w:rFonts w:cs="Times New Roman"/>
                <w:b/>
                <w:bCs/>
              </w:rPr>
              <w:t>Fizika</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3</w:t>
            </w:r>
          </w:p>
        </w:tc>
        <w:tc>
          <w:tcPr>
            <w:tcW w:w="990" w:type="dxa"/>
            <w:tcBorders>
              <w:top w:val="nil"/>
              <w:left w:val="nil"/>
              <w:bottom w:val="single" w:sz="4" w:space="0" w:color="auto"/>
              <w:right w:val="single" w:sz="8" w:space="0" w:color="auto"/>
            </w:tcBorders>
            <w:shd w:val="clear" w:color="auto" w:fill="auto"/>
            <w:noWrap/>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15</w:t>
            </w:r>
          </w:p>
        </w:tc>
      </w:tr>
      <w:tr w:rsidR="00D049BF" w:rsidRPr="006A32F6" w:rsidTr="00D62E65">
        <w:trPr>
          <w:trHeight w:val="315"/>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 18</w:t>
            </w:r>
          </w:p>
        </w:tc>
        <w:tc>
          <w:tcPr>
            <w:tcW w:w="2655" w:type="dxa"/>
            <w:tcBorders>
              <w:top w:val="nil"/>
              <w:left w:val="nil"/>
              <w:bottom w:val="single" w:sz="8" w:space="0" w:color="auto"/>
              <w:right w:val="single" w:sz="4" w:space="0" w:color="auto"/>
            </w:tcBorders>
            <w:shd w:val="clear" w:color="auto" w:fill="auto"/>
            <w:vAlign w:val="center"/>
            <w:hideMark/>
          </w:tcPr>
          <w:p w:rsidR="00D049BF" w:rsidRPr="002442FC" w:rsidRDefault="00D049BF" w:rsidP="00D62E65">
            <w:pPr>
              <w:rPr>
                <w:rFonts w:cs="Times New Roman"/>
                <w:b/>
                <w:bCs/>
              </w:rPr>
            </w:pPr>
            <w:r w:rsidRPr="002442FC">
              <w:rPr>
                <w:rFonts w:cs="Times New Roman"/>
                <w:b/>
                <w:bCs/>
              </w:rPr>
              <w:t>Programiranje</w:t>
            </w:r>
          </w:p>
        </w:tc>
        <w:tc>
          <w:tcPr>
            <w:tcW w:w="960" w:type="dxa"/>
            <w:tcBorders>
              <w:top w:val="nil"/>
              <w:left w:val="nil"/>
              <w:bottom w:val="single" w:sz="8"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2</w:t>
            </w:r>
          </w:p>
        </w:tc>
        <w:tc>
          <w:tcPr>
            <w:tcW w:w="960" w:type="dxa"/>
            <w:tcBorders>
              <w:top w:val="nil"/>
              <w:left w:val="nil"/>
              <w:bottom w:val="single" w:sz="8"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2</w:t>
            </w:r>
          </w:p>
        </w:tc>
        <w:tc>
          <w:tcPr>
            <w:tcW w:w="960" w:type="dxa"/>
            <w:tcBorders>
              <w:top w:val="nil"/>
              <w:left w:val="nil"/>
              <w:bottom w:val="single" w:sz="8" w:space="0" w:color="auto"/>
              <w:right w:val="single" w:sz="4" w:space="0" w:color="auto"/>
            </w:tcBorders>
            <w:shd w:val="clear" w:color="auto" w:fill="auto"/>
            <w:vAlign w:val="center"/>
            <w:hideMark/>
          </w:tcPr>
          <w:p w:rsidR="00D049BF" w:rsidRPr="002442FC" w:rsidRDefault="00D049BF" w:rsidP="00D62E65">
            <w:pPr>
              <w:jc w:val="center"/>
              <w:rPr>
                <w:rFonts w:cs="Times New Roman"/>
                <w:b/>
                <w:bCs/>
                <w:color w:val="000000"/>
              </w:rPr>
            </w:pPr>
            <w:r w:rsidRPr="002442FC">
              <w:rPr>
                <w:rFonts w:cs="Times New Roman"/>
                <w:b/>
                <w:bCs/>
                <w:color w:val="000000"/>
              </w:rPr>
              <w:t>2</w:t>
            </w:r>
          </w:p>
        </w:tc>
        <w:tc>
          <w:tcPr>
            <w:tcW w:w="960" w:type="dxa"/>
            <w:tcBorders>
              <w:top w:val="nil"/>
              <w:left w:val="nil"/>
              <w:bottom w:val="single" w:sz="8" w:space="0" w:color="auto"/>
              <w:right w:val="single" w:sz="4" w:space="0" w:color="auto"/>
            </w:tcBorders>
            <w:shd w:val="clear" w:color="auto" w:fill="auto"/>
            <w:vAlign w:val="center"/>
            <w:hideMark/>
          </w:tcPr>
          <w:p w:rsidR="00D049BF" w:rsidRPr="002442FC" w:rsidRDefault="00D049BF" w:rsidP="00D62E65">
            <w:pPr>
              <w:jc w:val="center"/>
              <w:rPr>
                <w:rFonts w:cs="Times New Roman"/>
                <w:color w:val="000000"/>
              </w:rPr>
            </w:pPr>
            <w:r w:rsidRPr="002442FC">
              <w:rPr>
                <w:rFonts w:cs="Times New Roman"/>
                <w:b/>
                <w:bCs/>
                <w:color w:val="000000"/>
              </w:rPr>
              <w:t>1</w:t>
            </w:r>
          </w:p>
        </w:tc>
        <w:tc>
          <w:tcPr>
            <w:tcW w:w="990" w:type="dxa"/>
            <w:tcBorders>
              <w:top w:val="nil"/>
              <w:left w:val="nil"/>
              <w:bottom w:val="single" w:sz="8" w:space="0" w:color="auto"/>
              <w:right w:val="single" w:sz="8" w:space="0" w:color="auto"/>
            </w:tcBorders>
            <w:shd w:val="clear" w:color="auto" w:fill="auto"/>
            <w:noWrap/>
            <w:vAlign w:val="center"/>
            <w:hideMark/>
          </w:tcPr>
          <w:p w:rsidR="00D049BF" w:rsidRPr="002442FC" w:rsidRDefault="00D049BF" w:rsidP="00D62E65">
            <w:pPr>
              <w:jc w:val="center"/>
              <w:rPr>
                <w:rFonts w:cs="Times New Roman"/>
                <w:color w:val="000000"/>
              </w:rPr>
            </w:pPr>
            <w:r w:rsidRPr="002442FC">
              <w:rPr>
                <w:rFonts w:cs="Times New Roman"/>
                <w:b/>
                <w:bCs/>
                <w:color w:val="000000"/>
              </w:rPr>
              <w:t>7</w:t>
            </w:r>
          </w:p>
        </w:tc>
      </w:tr>
      <w:tr w:rsidR="00D049BF" w:rsidRPr="006A32F6" w:rsidTr="00D62E65">
        <w:trPr>
          <w:trHeight w:val="330"/>
        </w:trPr>
        <w:tc>
          <w:tcPr>
            <w:tcW w:w="820" w:type="dxa"/>
            <w:tcBorders>
              <w:top w:val="nil"/>
              <w:left w:val="single" w:sz="8" w:space="0" w:color="auto"/>
              <w:bottom w:val="single" w:sz="8" w:space="0" w:color="auto"/>
              <w:right w:val="single" w:sz="4" w:space="0" w:color="auto"/>
            </w:tcBorders>
            <w:shd w:val="clear" w:color="auto" w:fill="auto"/>
            <w:vAlign w:val="center"/>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19</w:t>
            </w:r>
          </w:p>
        </w:tc>
        <w:tc>
          <w:tcPr>
            <w:tcW w:w="2655"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rPr>
                <w:rFonts w:cs="Times New Roman"/>
                <w:b/>
                <w:bCs/>
                <w:color w:val="00B050"/>
              </w:rPr>
            </w:pPr>
            <w:r w:rsidRPr="00FE18C8">
              <w:rPr>
                <w:rFonts w:cs="Times New Roman"/>
                <w:b/>
                <w:bCs/>
              </w:rPr>
              <w:t>Informatika</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center"/>
              <w:rPr>
                <w:rFonts w:cs="Times New Roman"/>
                <w:b/>
                <w:bCs/>
                <w:color w:val="000000"/>
              </w:rPr>
            </w:pPr>
            <w:r w:rsidRPr="002442FC">
              <w:rPr>
                <w:rFonts w:cs="Times New Roman"/>
                <w:b/>
                <w:bCs/>
                <w:color w:val="000000"/>
              </w:rPr>
              <w:t>2</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center"/>
              <w:rPr>
                <w:rFonts w:cs="Times New Roman"/>
                <w:b/>
                <w:bCs/>
                <w:color w:val="000000"/>
              </w:rPr>
            </w:pPr>
            <w:r w:rsidRPr="002442FC">
              <w:rPr>
                <w:rFonts w:cs="Times New Roman"/>
                <w:b/>
                <w:bCs/>
                <w:color w:val="000000"/>
              </w:rPr>
              <w:t>1</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center"/>
              <w:rPr>
                <w:rFonts w:cs="Times New Roman"/>
                <w:b/>
                <w:bCs/>
                <w:color w:val="000000"/>
              </w:rPr>
            </w:pPr>
            <w:r w:rsidRPr="002442FC">
              <w:rPr>
                <w:rFonts w:cs="Times New Roman"/>
                <w:b/>
                <w:bCs/>
                <w:color w:val="000000"/>
              </w:rPr>
              <w:t>1</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center"/>
              <w:rPr>
                <w:rFonts w:cs="Times New Roman"/>
                <w:b/>
                <w:bCs/>
                <w:color w:val="000000"/>
              </w:rPr>
            </w:pPr>
            <w:r w:rsidRPr="002442FC">
              <w:rPr>
                <w:rFonts w:cs="Times New Roman"/>
                <w:b/>
                <w:bCs/>
                <w:color w:val="000000"/>
              </w:rPr>
              <w:t>2</w:t>
            </w:r>
          </w:p>
        </w:tc>
        <w:tc>
          <w:tcPr>
            <w:tcW w:w="990" w:type="dxa"/>
            <w:tcBorders>
              <w:top w:val="nil"/>
              <w:left w:val="nil"/>
              <w:bottom w:val="single" w:sz="8" w:space="0" w:color="auto"/>
              <w:right w:val="single" w:sz="8" w:space="0" w:color="auto"/>
            </w:tcBorders>
            <w:shd w:val="clear" w:color="auto" w:fill="auto"/>
            <w:noWrap/>
            <w:vAlign w:val="center"/>
          </w:tcPr>
          <w:p w:rsidR="00D049BF" w:rsidRPr="002442FC" w:rsidRDefault="00D049BF" w:rsidP="00D62E65">
            <w:pPr>
              <w:jc w:val="center"/>
              <w:rPr>
                <w:rFonts w:cs="Times New Roman"/>
                <w:b/>
                <w:bCs/>
                <w:color w:val="000000"/>
              </w:rPr>
            </w:pPr>
            <w:r w:rsidRPr="002442FC">
              <w:rPr>
                <w:rFonts w:cs="Times New Roman"/>
                <w:b/>
                <w:bCs/>
                <w:color w:val="000000"/>
              </w:rPr>
              <w:t>6</w:t>
            </w:r>
          </w:p>
        </w:tc>
      </w:tr>
      <w:tr w:rsidR="00D049BF" w:rsidRPr="006A32F6" w:rsidTr="00D62E65">
        <w:trPr>
          <w:trHeight w:val="330"/>
        </w:trPr>
        <w:tc>
          <w:tcPr>
            <w:tcW w:w="820" w:type="dxa"/>
            <w:tcBorders>
              <w:top w:val="nil"/>
              <w:left w:val="single" w:sz="8" w:space="0" w:color="auto"/>
              <w:bottom w:val="single" w:sz="8" w:space="0" w:color="auto"/>
              <w:right w:val="single" w:sz="4" w:space="0" w:color="auto"/>
            </w:tcBorders>
            <w:shd w:val="clear" w:color="auto" w:fill="auto"/>
            <w:vAlign w:val="center"/>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20</w:t>
            </w:r>
          </w:p>
        </w:tc>
        <w:tc>
          <w:tcPr>
            <w:tcW w:w="2655"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rPr>
                <w:rFonts w:cs="Times New Roman"/>
                <w:b/>
                <w:bCs/>
                <w:color w:val="000000"/>
              </w:rPr>
            </w:pPr>
            <w:r w:rsidRPr="002442FC">
              <w:rPr>
                <w:rFonts w:cs="Times New Roman"/>
                <w:b/>
                <w:bCs/>
                <w:color w:val="000000"/>
              </w:rPr>
              <w:t>Hemija</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center"/>
              <w:rPr>
                <w:rFonts w:cs="Times New Roman"/>
                <w:color w:val="000000"/>
              </w:rPr>
            </w:pPr>
            <w:r w:rsidRPr="002442FC">
              <w:rPr>
                <w:rFonts w:cs="Times New Roman"/>
                <w:color w:val="000000"/>
              </w:rPr>
              <w:t> </w:t>
            </w:r>
          </w:p>
        </w:tc>
        <w:tc>
          <w:tcPr>
            <w:tcW w:w="960"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color w:val="000000"/>
              </w:rPr>
            </w:pPr>
            <w:r w:rsidRPr="002442FC">
              <w:rPr>
                <w:rFonts w:cs="Times New Roman"/>
                <w:color w:val="000000"/>
              </w:rPr>
              <w:t>2</w:t>
            </w:r>
          </w:p>
        </w:tc>
        <w:tc>
          <w:tcPr>
            <w:tcW w:w="960"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color w:val="000000"/>
              </w:rPr>
            </w:pPr>
            <w:r w:rsidRPr="002442FC">
              <w:rPr>
                <w:rFonts w:cs="Times New Roman"/>
                <w:color w:val="000000"/>
              </w:rPr>
              <w:t>2</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center"/>
              <w:rPr>
                <w:rFonts w:cs="Times New Roman"/>
                <w:color w:val="000000"/>
              </w:rPr>
            </w:pPr>
            <w:r w:rsidRPr="002442FC">
              <w:rPr>
                <w:rFonts w:cs="Times New Roman"/>
                <w:color w:val="000000"/>
              </w:rPr>
              <w:t>2</w:t>
            </w:r>
          </w:p>
        </w:tc>
        <w:tc>
          <w:tcPr>
            <w:tcW w:w="990" w:type="dxa"/>
            <w:tcBorders>
              <w:top w:val="nil"/>
              <w:left w:val="nil"/>
              <w:bottom w:val="single" w:sz="8" w:space="0" w:color="auto"/>
              <w:right w:val="single" w:sz="8" w:space="0" w:color="auto"/>
            </w:tcBorders>
            <w:shd w:val="clear" w:color="auto" w:fill="auto"/>
            <w:noWrap/>
            <w:vAlign w:val="center"/>
          </w:tcPr>
          <w:p w:rsidR="00D049BF" w:rsidRPr="002442FC" w:rsidRDefault="00D049BF" w:rsidP="00D62E65">
            <w:pPr>
              <w:jc w:val="center"/>
              <w:rPr>
                <w:rFonts w:cs="Times New Roman"/>
                <w:b/>
                <w:bCs/>
                <w:color w:val="000000"/>
              </w:rPr>
            </w:pPr>
            <w:r w:rsidRPr="002442FC">
              <w:rPr>
                <w:rFonts w:cs="Times New Roman"/>
                <w:b/>
                <w:bCs/>
                <w:color w:val="000000"/>
              </w:rPr>
              <w:t>6</w:t>
            </w:r>
          </w:p>
        </w:tc>
      </w:tr>
      <w:tr w:rsidR="00D049BF" w:rsidRPr="006A32F6" w:rsidTr="00D62E65">
        <w:trPr>
          <w:trHeight w:val="330"/>
        </w:trPr>
        <w:tc>
          <w:tcPr>
            <w:tcW w:w="820" w:type="dxa"/>
            <w:tcBorders>
              <w:top w:val="nil"/>
              <w:left w:val="single" w:sz="8" w:space="0" w:color="auto"/>
              <w:bottom w:val="single" w:sz="8" w:space="0" w:color="auto"/>
              <w:right w:val="single" w:sz="4" w:space="0" w:color="auto"/>
            </w:tcBorders>
            <w:shd w:val="clear" w:color="auto" w:fill="auto"/>
            <w:vAlign w:val="center"/>
          </w:tcPr>
          <w:p w:rsidR="00D049BF" w:rsidRPr="002442FC" w:rsidRDefault="00D049BF" w:rsidP="00D62E65">
            <w:pPr>
              <w:jc w:val="center"/>
              <w:rPr>
                <w:rFonts w:eastAsia="Times New Roman" w:cs="Times New Roman"/>
                <w:color w:val="000000"/>
              </w:rPr>
            </w:pPr>
            <w:r w:rsidRPr="002442FC">
              <w:rPr>
                <w:rFonts w:eastAsia="Times New Roman" w:cs="Times New Roman"/>
                <w:color w:val="000000"/>
              </w:rPr>
              <w:t>21</w:t>
            </w:r>
          </w:p>
        </w:tc>
        <w:tc>
          <w:tcPr>
            <w:tcW w:w="2655"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rPr>
                <w:rFonts w:cs="Times New Roman"/>
                <w:b/>
                <w:bCs/>
                <w:color w:val="000000"/>
              </w:rPr>
            </w:pPr>
            <w:r w:rsidRPr="002442FC">
              <w:rPr>
                <w:rFonts w:cs="Times New Roman"/>
                <w:b/>
                <w:bCs/>
                <w:color w:val="000000"/>
              </w:rPr>
              <w:t>Biologija</w:t>
            </w:r>
          </w:p>
        </w:tc>
        <w:tc>
          <w:tcPr>
            <w:tcW w:w="960"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color w:val="000000"/>
              </w:rPr>
            </w:pPr>
            <w:r w:rsidRPr="002442FC">
              <w:rPr>
                <w:rFonts w:cs="Times New Roman"/>
                <w:color w:val="000000"/>
              </w:rPr>
              <w:t> </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center"/>
              <w:rPr>
                <w:rFonts w:cs="Times New Roman"/>
                <w:color w:val="000000"/>
              </w:rPr>
            </w:pPr>
            <w:r w:rsidRPr="002442FC">
              <w:rPr>
                <w:rFonts w:cs="Times New Roman"/>
                <w:color w:val="000000"/>
              </w:rPr>
              <w:t>2</w:t>
            </w:r>
          </w:p>
        </w:tc>
        <w:tc>
          <w:tcPr>
            <w:tcW w:w="960"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color w:val="000000"/>
              </w:rPr>
            </w:pPr>
            <w:r w:rsidRPr="002442FC">
              <w:rPr>
                <w:rFonts w:cs="Times New Roman"/>
                <w:color w:val="000000"/>
              </w:rPr>
              <w:t>2</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center"/>
              <w:rPr>
                <w:rFonts w:cs="Times New Roman"/>
                <w:color w:val="000000"/>
              </w:rPr>
            </w:pPr>
            <w:r w:rsidRPr="002442FC">
              <w:rPr>
                <w:rFonts w:cs="Times New Roman"/>
                <w:color w:val="000000"/>
              </w:rPr>
              <w:t>2</w:t>
            </w:r>
          </w:p>
        </w:tc>
        <w:tc>
          <w:tcPr>
            <w:tcW w:w="990" w:type="dxa"/>
            <w:tcBorders>
              <w:top w:val="nil"/>
              <w:left w:val="nil"/>
              <w:bottom w:val="single" w:sz="8" w:space="0" w:color="auto"/>
              <w:right w:val="single" w:sz="8" w:space="0" w:color="auto"/>
            </w:tcBorders>
            <w:shd w:val="clear" w:color="auto" w:fill="auto"/>
            <w:noWrap/>
            <w:vAlign w:val="center"/>
          </w:tcPr>
          <w:p w:rsidR="00D049BF" w:rsidRPr="002442FC" w:rsidRDefault="00D049BF" w:rsidP="00D62E65">
            <w:pPr>
              <w:jc w:val="center"/>
              <w:rPr>
                <w:rFonts w:cs="Times New Roman"/>
                <w:b/>
                <w:bCs/>
                <w:color w:val="000000"/>
              </w:rPr>
            </w:pPr>
            <w:r w:rsidRPr="002442FC">
              <w:rPr>
                <w:rFonts w:cs="Times New Roman"/>
                <w:b/>
                <w:bCs/>
                <w:color w:val="000000"/>
              </w:rPr>
              <w:t>6</w:t>
            </w:r>
          </w:p>
        </w:tc>
      </w:tr>
      <w:tr w:rsidR="00D049BF" w:rsidRPr="006A32F6" w:rsidTr="00D62E65">
        <w:trPr>
          <w:trHeight w:val="330"/>
        </w:trPr>
        <w:tc>
          <w:tcPr>
            <w:tcW w:w="820" w:type="dxa"/>
            <w:tcBorders>
              <w:top w:val="nil"/>
              <w:left w:val="single" w:sz="8" w:space="0" w:color="auto"/>
              <w:bottom w:val="single" w:sz="8" w:space="0" w:color="auto"/>
              <w:right w:val="single" w:sz="4" w:space="0" w:color="auto"/>
            </w:tcBorders>
            <w:shd w:val="clear" w:color="auto" w:fill="auto"/>
            <w:vAlign w:val="center"/>
          </w:tcPr>
          <w:p w:rsidR="00D049BF" w:rsidRPr="002442FC" w:rsidRDefault="00D049BF" w:rsidP="00D62E65">
            <w:pPr>
              <w:jc w:val="center"/>
              <w:rPr>
                <w:rFonts w:eastAsia="Times New Roman" w:cs="Times New Roman"/>
                <w:color w:val="000000"/>
              </w:rPr>
            </w:pPr>
          </w:p>
        </w:tc>
        <w:tc>
          <w:tcPr>
            <w:tcW w:w="2655"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rPr>
                <w:rFonts w:cs="Times New Roman"/>
                <w:color w:val="000000"/>
              </w:rPr>
            </w:pPr>
            <w:r w:rsidRPr="002442FC">
              <w:rPr>
                <w:rFonts w:cs="Times New Roman"/>
                <w:color w:val="000000"/>
              </w:rPr>
              <w:t> </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jc w:val="right"/>
              <w:rPr>
                <w:rFonts w:cs="Times New Roman"/>
                <w:color w:val="000000"/>
              </w:rPr>
            </w:pP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rPr>
                <w:rFonts w:cs="Times New Roman"/>
                <w:color w:val="000000"/>
              </w:rPr>
            </w:pPr>
            <w:r w:rsidRPr="002442FC">
              <w:rPr>
                <w:rFonts w:cs="Times New Roman"/>
                <w:color w:val="000000"/>
              </w:rPr>
              <w:t> </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rPr>
                <w:rFonts w:cs="Times New Roman"/>
                <w:color w:val="000000"/>
              </w:rPr>
            </w:pPr>
            <w:r w:rsidRPr="002442FC">
              <w:rPr>
                <w:rFonts w:cs="Times New Roman"/>
                <w:color w:val="000000"/>
              </w:rPr>
              <w:t> </w:t>
            </w:r>
          </w:p>
        </w:tc>
        <w:tc>
          <w:tcPr>
            <w:tcW w:w="960" w:type="dxa"/>
            <w:tcBorders>
              <w:top w:val="nil"/>
              <w:left w:val="nil"/>
              <w:bottom w:val="single" w:sz="8" w:space="0" w:color="auto"/>
              <w:right w:val="single" w:sz="4" w:space="0" w:color="auto"/>
            </w:tcBorders>
            <w:shd w:val="clear" w:color="auto" w:fill="auto"/>
            <w:vAlign w:val="bottom"/>
          </w:tcPr>
          <w:p w:rsidR="00D049BF" w:rsidRPr="002442FC" w:rsidRDefault="00D049BF" w:rsidP="00D62E65">
            <w:pPr>
              <w:rPr>
                <w:rFonts w:cs="Times New Roman"/>
                <w:color w:val="000000"/>
              </w:rPr>
            </w:pPr>
            <w:r w:rsidRPr="002442FC">
              <w:rPr>
                <w:rFonts w:cs="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tcPr>
          <w:p w:rsidR="00D049BF" w:rsidRPr="002442FC" w:rsidRDefault="00D049BF" w:rsidP="00D62E65">
            <w:pPr>
              <w:rPr>
                <w:rFonts w:cs="Times New Roman"/>
                <w:color w:val="000000"/>
              </w:rPr>
            </w:pPr>
            <w:r w:rsidRPr="002442FC">
              <w:rPr>
                <w:rFonts w:cs="Times New Roman"/>
                <w:color w:val="000000"/>
              </w:rPr>
              <w:t> </w:t>
            </w:r>
          </w:p>
        </w:tc>
      </w:tr>
      <w:tr w:rsidR="00D049BF" w:rsidRPr="006A32F6" w:rsidTr="00D62E65">
        <w:trPr>
          <w:trHeight w:val="330"/>
        </w:trPr>
        <w:tc>
          <w:tcPr>
            <w:tcW w:w="820" w:type="dxa"/>
            <w:tcBorders>
              <w:top w:val="nil"/>
              <w:left w:val="single" w:sz="8" w:space="0" w:color="auto"/>
              <w:bottom w:val="single" w:sz="8" w:space="0" w:color="auto"/>
              <w:right w:val="single" w:sz="4" w:space="0" w:color="auto"/>
            </w:tcBorders>
            <w:shd w:val="clear" w:color="auto" w:fill="auto"/>
            <w:vAlign w:val="center"/>
          </w:tcPr>
          <w:p w:rsidR="00D049BF" w:rsidRPr="002442FC" w:rsidRDefault="00D049BF" w:rsidP="00D62E65">
            <w:pPr>
              <w:jc w:val="center"/>
              <w:rPr>
                <w:rFonts w:eastAsia="Times New Roman" w:cs="Times New Roman"/>
                <w:color w:val="000000"/>
              </w:rPr>
            </w:pPr>
          </w:p>
        </w:tc>
        <w:tc>
          <w:tcPr>
            <w:tcW w:w="2655"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b/>
                <w:bCs/>
                <w:color w:val="000000"/>
              </w:rPr>
            </w:pPr>
            <w:r w:rsidRPr="002442FC">
              <w:rPr>
                <w:rFonts w:cs="Times New Roman"/>
                <w:b/>
                <w:bCs/>
                <w:color w:val="000000"/>
              </w:rPr>
              <w:t>TOTAL po razredu</w:t>
            </w:r>
          </w:p>
        </w:tc>
        <w:tc>
          <w:tcPr>
            <w:tcW w:w="960"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b/>
                <w:bCs/>
                <w:color w:val="000000"/>
              </w:rPr>
            </w:pPr>
            <w:r w:rsidRPr="002442FC">
              <w:rPr>
                <w:rFonts w:cs="Times New Roman"/>
                <w:b/>
                <w:bCs/>
                <w:color w:val="000000"/>
              </w:rPr>
              <w:t>32</w:t>
            </w:r>
          </w:p>
        </w:tc>
        <w:tc>
          <w:tcPr>
            <w:tcW w:w="960"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b/>
                <w:bCs/>
                <w:color w:val="000000"/>
              </w:rPr>
            </w:pPr>
            <w:r w:rsidRPr="002442FC">
              <w:rPr>
                <w:rFonts w:cs="Times New Roman"/>
                <w:b/>
                <w:bCs/>
                <w:color w:val="000000"/>
              </w:rPr>
              <w:t>29</w:t>
            </w:r>
          </w:p>
        </w:tc>
        <w:tc>
          <w:tcPr>
            <w:tcW w:w="960"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b/>
                <w:bCs/>
                <w:color w:val="000000"/>
              </w:rPr>
            </w:pPr>
            <w:r w:rsidRPr="002442FC">
              <w:rPr>
                <w:rFonts w:cs="Times New Roman"/>
                <w:b/>
                <w:bCs/>
                <w:color w:val="000000"/>
              </w:rPr>
              <w:t>29</w:t>
            </w:r>
          </w:p>
        </w:tc>
        <w:tc>
          <w:tcPr>
            <w:tcW w:w="960" w:type="dxa"/>
            <w:tcBorders>
              <w:top w:val="nil"/>
              <w:left w:val="nil"/>
              <w:bottom w:val="single" w:sz="8" w:space="0" w:color="auto"/>
              <w:right w:val="single" w:sz="4" w:space="0" w:color="auto"/>
            </w:tcBorders>
            <w:shd w:val="clear" w:color="auto" w:fill="auto"/>
            <w:vAlign w:val="center"/>
          </w:tcPr>
          <w:p w:rsidR="00D049BF" w:rsidRPr="002442FC" w:rsidRDefault="00D049BF" w:rsidP="00D62E65">
            <w:pPr>
              <w:jc w:val="center"/>
              <w:rPr>
                <w:rFonts w:cs="Times New Roman"/>
                <w:b/>
                <w:bCs/>
                <w:color w:val="000000"/>
              </w:rPr>
            </w:pPr>
            <w:r w:rsidRPr="002442FC">
              <w:rPr>
                <w:rFonts w:cs="Times New Roman"/>
                <w:b/>
                <w:bCs/>
                <w:color w:val="000000"/>
              </w:rPr>
              <w:t>30</w:t>
            </w:r>
          </w:p>
        </w:tc>
        <w:tc>
          <w:tcPr>
            <w:tcW w:w="990" w:type="dxa"/>
            <w:tcBorders>
              <w:top w:val="nil"/>
              <w:left w:val="nil"/>
              <w:bottom w:val="single" w:sz="8" w:space="0" w:color="auto"/>
              <w:right w:val="single" w:sz="8" w:space="0" w:color="auto"/>
            </w:tcBorders>
            <w:shd w:val="clear" w:color="auto" w:fill="auto"/>
            <w:noWrap/>
            <w:vAlign w:val="center"/>
          </w:tcPr>
          <w:p w:rsidR="00D049BF" w:rsidRPr="002442FC" w:rsidRDefault="00D049BF" w:rsidP="00D62E65">
            <w:pPr>
              <w:jc w:val="center"/>
              <w:rPr>
                <w:rFonts w:cs="Times New Roman"/>
                <w:b/>
                <w:bCs/>
                <w:color w:val="000000"/>
              </w:rPr>
            </w:pPr>
            <w:r w:rsidRPr="002442FC">
              <w:rPr>
                <w:rFonts w:cs="Times New Roman"/>
                <w:b/>
                <w:bCs/>
                <w:color w:val="000000"/>
              </w:rPr>
              <w:t>120</w:t>
            </w:r>
          </w:p>
        </w:tc>
      </w:tr>
    </w:tbl>
    <w:p w:rsidR="00BF0E7C" w:rsidRDefault="00D049BF" w:rsidP="00D049BF">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r w:rsidRPr="00D049BF">
        <w:rPr>
          <w:rFonts w:ascii="Times New Roman" w:eastAsia="Times New Roman" w:hAnsi="Times New Roman" w:cs="Times New Roman"/>
          <w:noProof w:val="0"/>
          <w:sz w:val="24"/>
          <w:szCs w:val="24"/>
          <w:lang w:val="bs-Latn-BA" w:eastAsia="bs-Latn-BA"/>
        </w:rPr>
        <w:br/>
      </w:r>
    </w:p>
    <w:sectPr w:rsidR="00BF0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F14AF"/>
    <w:multiLevelType w:val="multilevel"/>
    <w:tmpl w:val="74D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BF"/>
    <w:rsid w:val="00244539"/>
    <w:rsid w:val="00716AD3"/>
    <w:rsid w:val="007B6F03"/>
    <w:rsid w:val="00D049BF"/>
    <w:rsid w:val="00E1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122AD-AD2D-4AC7-A4C9-3EFB6C3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Pr>
      <w:noProof/>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NormalnoWeb">
    <w:name w:val="Normal (Web)"/>
    <w:basedOn w:val="Normalno"/>
    <w:uiPriority w:val="99"/>
    <w:semiHidden/>
    <w:unhideWhenUsed/>
    <w:rsid w:val="00D049BF"/>
    <w:pPr>
      <w:spacing w:before="100" w:beforeAutospacing="1" w:after="100" w:afterAutospacing="1" w:line="240" w:lineRule="auto"/>
    </w:pPr>
    <w:rPr>
      <w:rFonts w:ascii="Times New Roman" w:eastAsia="Times New Roman" w:hAnsi="Times New Roman" w:cs="Times New Roman"/>
      <w:noProof w:val="0"/>
      <w:sz w:val="24"/>
      <w:szCs w:val="24"/>
      <w:lang w:val="bs-Latn-BA" w:eastAsia="bs-Latn-BA"/>
    </w:rPr>
  </w:style>
  <w:style w:type="character" w:styleId="Hiperveza">
    <w:name w:val="Hyperlink"/>
    <w:basedOn w:val="Zadanifontparagrafa"/>
    <w:uiPriority w:val="99"/>
    <w:semiHidden/>
    <w:unhideWhenUsed/>
    <w:rsid w:val="00D04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secondary@rps.edu.b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drive.google.com/drive/folders/1XqvhZelxaVfjxKJJ5JbeFNmUjtYB3V1z?usp=sharing" TargetMode="External" /><Relationship Id="rId5" Type="http://schemas.openxmlformats.org/officeDocument/2006/relationships/hyperlink" Target="https://secondary.rps.edu.ba/dostignuca/"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PEPIC</dc:creator>
  <cp:keywords/>
  <dc:description/>
  <cp:lastModifiedBy>kapetanovic_hermin@yahoo.com</cp:lastModifiedBy>
  <cp:revision>2</cp:revision>
  <dcterms:created xsi:type="dcterms:W3CDTF">2021-06-12T17:32:00Z</dcterms:created>
  <dcterms:modified xsi:type="dcterms:W3CDTF">2021-06-12T17:32:00Z</dcterms:modified>
</cp:coreProperties>
</file>